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837" w:rsidRDefault="00F67837" w:rsidP="00F67837">
      <w:pPr>
        <w:pStyle w:val="Titre1"/>
        <w:shd w:val="clear" w:color="auto" w:fill="FFFFFF"/>
        <w:spacing w:before="0" w:beforeAutospacing="0" w:after="0" w:afterAutospacing="0"/>
        <w:textAlignment w:val="baseline"/>
        <w:rPr>
          <w:rFonts w:ascii="Verdana" w:hAnsi="Verdana"/>
          <w:color w:val="00204E"/>
          <w:sz w:val="25"/>
          <w:szCs w:val="25"/>
        </w:rPr>
      </w:pPr>
      <w:bookmarkStart w:id="0" w:name="_GoBack"/>
      <w:bookmarkEnd w:id="0"/>
      <w:r>
        <w:rPr>
          <w:rFonts w:ascii="Verdana" w:hAnsi="Verdana"/>
          <w:color w:val="00204E"/>
          <w:sz w:val="25"/>
          <w:szCs w:val="25"/>
        </w:rPr>
        <w:t>Les droits de succession flamands peuvent désormais être régularisés sur le plan fiscal. Qu’en est-il des autres Régions ?</w:t>
      </w:r>
    </w:p>
    <w:p w:rsidR="00F67837" w:rsidRDefault="00F67837" w:rsidP="00F67837">
      <w:pPr>
        <w:rPr>
          <w:rFonts w:ascii="Times New Roman" w:hAnsi="Times New Roman"/>
          <w:sz w:val="24"/>
          <w:szCs w:val="24"/>
        </w:rPr>
      </w:pPr>
      <w:r>
        <w:rPr>
          <w:rStyle w:val="contentdate"/>
          <w:rFonts w:ascii="Verdana" w:hAnsi="Verdana"/>
          <w:color w:val="6D6D74"/>
          <w:sz w:val="15"/>
          <w:szCs w:val="15"/>
          <w:bdr w:val="none" w:sz="0" w:space="0" w:color="auto" w:frame="1"/>
          <w:shd w:val="clear" w:color="auto" w:fill="FFFFFF"/>
        </w:rPr>
        <w:t>10/10/2016</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132"/>
      </w:tblGrid>
      <w:tr w:rsidR="00F67837" w:rsidTr="00F67837">
        <w:trPr>
          <w:tblCellSpacing w:w="15" w:type="dxa"/>
        </w:trPr>
        <w:tc>
          <w:tcPr>
            <w:tcW w:w="0" w:type="auto"/>
            <w:shd w:val="clear" w:color="auto" w:fill="FFFFFF"/>
            <w:vAlign w:val="center"/>
            <w:hideMark/>
          </w:tcPr>
          <w:p w:rsidR="00F67837" w:rsidRDefault="00F67837">
            <w:pPr>
              <w:pStyle w:val="NormalWeb"/>
              <w:spacing w:before="0" w:beforeAutospacing="0" w:after="0" w:afterAutospacing="0"/>
              <w:textAlignment w:val="baseline"/>
              <w:rPr>
                <w:rFonts w:ascii="Verdana" w:hAnsi="Verdana"/>
                <w:color w:val="6D6D74"/>
                <w:sz w:val="16"/>
                <w:szCs w:val="16"/>
              </w:rPr>
            </w:pPr>
            <w:r>
              <w:rPr>
                <w:rFonts w:ascii="Verdana" w:hAnsi="Verdana"/>
                <w:color w:val="6D6D74"/>
                <w:sz w:val="16"/>
                <w:szCs w:val="16"/>
              </w:rPr>
              <w:br/>
            </w:r>
            <w:r>
              <w:rPr>
                <w:rFonts w:ascii="Verdana" w:hAnsi="Verdana"/>
                <w:color w:val="6D6D74"/>
                <w:sz w:val="16"/>
                <w:szCs w:val="16"/>
              </w:rPr>
              <w:br/>
            </w:r>
            <w:r w:rsidRPr="002C7F07">
              <w:rPr>
                <w:rFonts w:ascii="Verdana" w:hAnsi="Verdana"/>
                <w:sz w:val="20"/>
                <w:szCs w:val="20"/>
              </w:rPr>
              <w:t>La DLU</w:t>
            </w:r>
            <w:r w:rsidRPr="002C7F07">
              <w:rPr>
                <w:rStyle w:val="apple-converted-space"/>
                <w:rFonts w:ascii="Verdana" w:hAnsi="Verdana"/>
                <w:sz w:val="20"/>
                <w:szCs w:val="20"/>
              </w:rPr>
              <w:t> </w:t>
            </w:r>
            <w:r w:rsidRPr="002C7F07">
              <w:rPr>
                <w:rStyle w:val="Accentuation"/>
                <w:rFonts w:ascii="Verdana" w:hAnsi="Verdana"/>
                <w:sz w:val="20"/>
                <w:szCs w:val="20"/>
              </w:rPr>
              <w:t>quater</w:t>
            </w:r>
            <w:r w:rsidRPr="002C7F07">
              <w:rPr>
                <w:rFonts w:ascii="Verdana" w:hAnsi="Verdana"/>
                <w:sz w:val="20"/>
                <w:szCs w:val="20"/>
              </w:rPr>
              <w:t> (1) (procédure de régularisation fiscale et sociale fédérale) ne permet pas de régulariser des droits de succession et ce, tant qu’un accord de coopération n’est pas conclu entre le Fédéral et les Régions à ce sujet (2).</w:t>
            </w:r>
            <w:r w:rsidRPr="002C7F07">
              <w:rPr>
                <w:rFonts w:ascii="Verdana" w:hAnsi="Verdana"/>
                <w:sz w:val="20"/>
                <w:szCs w:val="20"/>
              </w:rPr>
              <w:br/>
            </w:r>
            <w:r w:rsidRPr="002C7F07">
              <w:rPr>
                <w:rFonts w:ascii="Verdana" w:hAnsi="Verdana"/>
                <w:sz w:val="20"/>
                <w:szCs w:val="20"/>
              </w:rPr>
              <w:br/>
              <w:t>Le service de l’administration fiscale en charge du traitement des DLU</w:t>
            </w:r>
            <w:r w:rsidRPr="002C7F07">
              <w:rPr>
                <w:rStyle w:val="apple-converted-space"/>
                <w:rFonts w:ascii="Verdana" w:hAnsi="Verdana"/>
                <w:sz w:val="20"/>
                <w:szCs w:val="20"/>
              </w:rPr>
              <w:t> </w:t>
            </w:r>
            <w:r w:rsidRPr="002C7F07">
              <w:rPr>
                <w:rStyle w:val="Accentuation"/>
                <w:rFonts w:ascii="Verdana" w:hAnsi="Verdana"/>
                <w:sz w:val="20"/>
                <w:szCs w:val="20"/>
              </w:rPr>
              <w:t>quater</w:t>
            </w:r>
            <w:r w:rsidRPr="002C7F07">
              <w:rPr>
                <w:rStyle w:val="apple-converted-space"/>
                <w:rFonts w:ascii="Verdana" w:hAnsi="Verdana"/>
                <w:sz w:val="20"/>
                <w:szCs w:val="20"/>
              </w:rPr>
              <w:t> </w:t>
            </w:r>
            <w:r w:rsidRPr="002C7F07">
              <w:rPr>
                <w:rFonts w:ascii="Verdana" w:hAnsi="Verdana"/>
                <w:sz w:val="20"/>
                <w:szCs w:val="20"/>
              </w:rPr>
              <w:t>refuse ainsi de traiter des régularisations comportant un volet successoral (même si cette succession est prescrite fiscalement). Cela empêche de nombreux contribuables de régulariser leur situation fiscale via la DLU</w:t>
            </w:r>
            <w:r w:rsidRPr="002C7F07">
              <w:rPr>
                <w:rStyle w:val="apple-converted-space"/>
                <w:rFonts w:ascii="Verdana" w:hAnsi="Verdana"/>
                <w:sz w:val="20"/>
                <w:szCs w:val="20"/>
              </w:rPr>
              <w:t> </w:t>
            </w:r>
            <w:r w:rsidRPr="002C7F07">
              <w:rPr>
                <w:rStyle w:val="Accentuation"/>
                <w:rFonts w:ascii="Verdana" w:hAnsi="Verdana"/>
                <w:sz w:val="20"/>
                <w:szCs w:val="20"/>
              </w:rPr>
              <w:t>quater</w:t>
            </w:r>
            <w:r w:rsidRPr="002C7F07">
              <w:rPr>
                <w:rFonts w:ascii="Verdana" w:hAnsi="Verdana"/>
                <w:sz w:val="20"/>
                <w:szCs w:val="20"/>
              </w:rPr>
              <w:t>. Or, seule cette procédure offre une immunité fiscale et,  sous certaines conditions et dans une certaine mesure, une immunité pénale (3).</w:t>
            </w:r>
            <w:r w:rsidRPr="002C7F07">
              <w:rPr>
                <w:rFonts w:ascii="Verdana" w:hAnsi="Verdana"/>
                <w:sz w:val="20"/>
                <w:szCs w:val="20"/>
              </w:rPr>
              <w:br/>
            </w:r>
            <w:r w:rsidRPr="002C7F07">
              <w:rPr>
                <w:rFonts w:ascii="Verdana" w:hAnsi="Verdana"/>
                <w:sz w:val="20"/>
                <w:szCs w:val="20"/>
              </w:rPr>
              <w:br/>
              <w:t>Ce 7 octobre 2016, le gouvernement flamand a adopté sa propre régularisation fiscale.</w:t>
            </w:r>
            <w:r w:rsidRPr="002C7F07">
              <w:rPr>
                <w:rFonts w:ascii="Verdana" w:hAnsi="Verdana"/>
                <w:sz w:val="20"/>
                <w:szCs w:val="20"/>
              </w:rPr>
              <w:br/>
            </w:r>
            <w:r w:rsidRPr="002C7F07">
              <w:rPr>
                <w:rFonts w:ascii="Verdana" w:hAnsi="Verdana"/>
                <w:sz w:val="20"/>
                <w:szCs w:val="20"/>
              </w:rPr>
              <w:br/>
              <w:t>Celle-ci permettrait de régulariser des impôts éludés pour lesquels la Flandre est exclusivement compétente. Cette régularisation fiscale concernerait ainsi essentiellement les droits de succession flamands éludés. A l’instar de la DLU</w:t>
            </w:r>
            <w:r w:rsidRPr="002C7F07">
              <w:rPr>
                <w:rStyle w:val="apple-converted-space"/>
                <w:rFonts w:ascii="Verdana" w:hAnsi="Verdana"/>
                <w:sz w:val="20"/>
                <w:szCs w:val="20"/>
              </w:rPr>
              <w:t> </w:t>
            </w:r>
            <w:r w:rsidRPr="002C7F07">
              <w:rPr>
                <w:rStyle w:val="Accentuation"/>
                <w:rFonts w:ascii="Verdana" w:hAnsi="Verdana"/>
                <w:sz w:val="20"/>
                <w:szCs w:val="20"/>
              </w:rPr>
              <w:t>quater</w:t>
            </w:r>
            <w:r w:rsidRPr="002C7F07">
              <w:rPr>
                <w:rFonts w:ascii="Verdana" w:hAnsi="Verdana"/>
                <w:sz w:val="20"/>
                <w:szCs w:val="20"/>
              </w:rPr>
              <w:t>, la procédure de régularisation fiscale flamande accorderait une immunité fiscale et, sous certaines conditions et dans une certaine mesure, une immunité pénale. Chaque contribuable ne pourrait toutefois bénéficier qu’une seule et unique fois de cette procédure de régularisation flamande.</w:t>
            </w:r>
            <w:r w:rsidRPr="002C7F07">
              <w:rPr>
                <w:rFonts w:ascii="Verdana" w:hAnsi="Verdana"/>
                <w:sz w:val="20"/>
                <w:szCs w:val="20"/>
              </w:rPr>
              <w:br/>
            </w:r>
            <w:r w:rsidRPr="002C7F07">
              <w:rPr>
                <w:rFonts w:ascii="Verdana" w:hAnsi="Verdana"/>
                <w:sz w:val="20"/>
                <w:szCs w:val="20"/>
              </w:rPr>
              <w:br/>
              <w:t>Concernant le coût de cette régularisation, il convient de faire une distinction selon que les droits de succession éludés sont prescrits fiscalement ou non. Pour les droits de succession non prescrits, un prélèvement de 35% s’appliquerait pour les héritiers en ligne directe. Ce prélèvement serait de 70% dans les autres cas. Ces prélèvements augmenteraient de 2% en 2017 et ensuite de 1% par an jusqu’en 2020. Quant aux droits de succession éludés qui seraient prescrits sur le plan fiscal, un prélèvement de 20% s’appliquerait et ce, quel que soit l’éventuel lien de parenté entre le défunt et la personne gratifiée.</w:t>
            </w:r>
            <w:r w:rsidRPr="002C7F07">
              <w:rPr>
                <w:rFonts w:ascii="Verdana" w:hAnsi="Verdana"/>
                <w:sz w:val="20"/>
                <w:szCs w:val="20"/>
              </w:rPr>
              <w:br/>
            </w:r>
            <w:r w:rsidRPr="002C7F07">
              <w:rPr>
                <w:rFonts w:ascii="Verdana" w:hAnsi="Verdana"/>
                <w:sz w:val="20"/>
                <w:szCs w:val="20"/>
              </w:rPr>
              <w:br/>
              <w:t>La régularisation fiscale flamande serait temporaire. Elle prendrait automatiquement fin le 31 décembre 2020 alors que la DLU</w:t>
            </w:r>
            <w:r w:rsidRPr="002C7F07">
              <w:rPr>
                <w:rStyle w:val="apple-converted-space"/>
                <w:rFonts w:ascii="Verdana" w:hAnsi="Verdana"/>
                <w:sz w:val="20"/>
                <w:szCs w:val="20"/>
              </w:rPr>
              <w:t> </w:t>
            </w:r>
            <w:r w:rsidRPr="002C7F07">
              <w:rPr>
                <w:rStyle w:val="Accentuation"/>
                <w:rFonts w:ascii="Verdana" w:hAnsi="Verdana"/>
                <w:sz w:val="20"/>
                <w:szCs w:val="20"/>
              </w:rPr>
              <w:t>quater</w:t>
            </w:r>
            <w:r w:rsidRPr="002C7F07">
              <w:rPr>
                <w:rStyle w:val="apple-converted-space"/>
                <w:rFonts w:ascii="Verdana" w:hAnsi="Verdana"/>
                <w:sz w:val="20"/>
                <w:szCs w:val="20"/>
              </w:rPr>
              <w:t> </w:t>
            </w:r>
            <w:r w:rsidRPr="002C7F07">
              <w:rPr>
                <w:rFonts w:ascii="Verdana" w:hAnsi="Verdana"/>
                <w:sz w:val="20"/>
                <w:szCs w:val="20"/>
              </w:rPr>
              <w:t>est, quant à elle, permanente.</w:t>
            </w:r>
            <w:r w:rsidRPr="002C7F07">
              <w:rPr>
                <w:rFonts w:ascii="Verdana" w:hAnsi="Verdana"/>
                <w:sz w:val="20"/>
                <w:szCs w:val="20"/>
              </w:rPr>
              <w:br/>
            </w:r>
            <w:r w:rsidRPr="002C7F07">
              <w:rPr>
                <w:rFonts w:ascii="Verdana" w:hAnsi="Verdana"/>
                <w:sz w:val="20"/>
                <w:szCs w:val="20"/>
              </w:rPr>
              <w:br/>
              <w:t>Reste à voir si la Région de Bruxelles-Capitale et la Région wallonne vont s’inscrire dans le sillage de la Région flamande. Cela clarifierait le processus de régularisation fiscale et débloquerait certaines situations.</w:t>
            </w:r>
            <w:r w:rsidRPr="002C7F07">
              <w:rPr>
                <w:rFonts w:ascii="Verdana" w:hAnsi="Verdana"/>
                <w:sz w:val="20"/>
                <w:szCs w:val="20"/>
              </w:rPr>
              <w:br/>
            </w:r>
            <w:r w:rsidRPr="002C7F07">
              <w:rPr>
                <w:rFonts w:ascii="Verdana" w:hAnsi="Verdana"/>
                <w:sz w:val="20"/>
                <w:szCs w:val="20"/>
              </w:rPr>
              <w:br/>
            </w:r>
            <w:r w:rsidRPr="002C7F07">
              <w:rPr>
                <w:rStyle w:val="Accentuation"/>
                <w:rFonts w:ascii="Verdana" w:hAnsi="Verdana"/>
                <w:sz w:val="20"/>
                <w:szCs w:val="20"/>
              </w:rPr>
              <w:t>Me Grégory Homans, avocat en droit fiscal et patrimonial, Associé au Cabinet Dekeyser &amp; Associés (</w:t>
            </w:r>
            <w:hyperlink r:id="rId6" w:history="1">
              <w:r w:rsidRPr="002C7F07">
                <w:rPr>
                  <w:rStyle w:val="Accentuation"/>
                  <w:rFonts w:ascii="Verdana" w:hAnsi="Verdana"/>
                  <w:sz w:val="20"/>
                  <w:szCs w:val="20"/>
                  <w:bdr w:val="none" w:sz="0" w:space="0" w:color="auto" w:frame="1"/>
                </w:rPr>
                <w:t>ghomans@dekeyser-associes.com</w:t>
              </w:r>
            </w:hyperlink>
            <w:r w:rsidRPr="002C7F07">
              <w:rPr>
                <w:rStyle w:val="Accentuation"/>
                <w:rFonts w:ascii="Verdana" w:hAnsi="Verdana"/>
                <w:sz w:val="20"/>
                <w:szCs w:val="20"/>
              </w:rPr>
              <w:t>;</w:t>
            </w:r>
            <w:r w:rsidRPr="002C7F07">
              <w:rPr>
                <w:rFonts w:ascii="Verdana" w:hAnsi="Verdana"/>
                <w:sz w:val="20"/>
                <w:szCs w:val="20"/>
              </w:rPr>
              <w:t> </w:t>
            </w:r>
            <w:hyperlink r:id="rId7" w:tgtFrame="_blank" w:history="1">
              <w:r w:rsidRPr="002C7F07">
                <w:rPr>
                  <w:rStyle w:val="Accentuation"/>
                  <w:rFonts w:ascii="Verdana" w:hAnsi="Verdana"/>
                  <w:sz w:val="20"/>
                  <w:szCs w:val="20"/>
                  <w:bdr w:val="none" w:sz="0" w:space="0" w:color="auto" w:frame="1"/>
                </w:rPr>
                <w:t>www.dekeyser-associes.com</w:t>
              </w:r>
            </w:hyperlink>
            <w:r w:rsidRPr="002C7F07">
              <w:rPr>
                <w:rStyle w:val="Accentuation"/>
                <w:rFonts w:ascii="Verdana" w:hAnsi="Verdana"/>
                <w:sz w:val="20"/>
                <w:szCs w:val="20"/>
              </w:rPr>
              <w:t>;</w:t>
            </w:r>
            <w:r w:rsidRPr="002C7F07">
              <w:rPr>
                <w:rFonts w:ascii="Verdana" w:hAnsi="Verdana"/>
                <w:sz w:val="20"/>
                <w:szCs w:val="20"/>
              </w:rPr>
              <w:t> </w:t>
            </w:r>
            <w:hyperlink r:id="rId8" w:tgtFrame="_blank" w:history="1">
              <w:r w:rsidRPr="002C7F07">
                <w:rPr>
                  <w:rStyle w:val="Accentuation"/>
                  <w:rFonts w:ascii="Verdana" w:hAnsi="Verdana"/>
                  <w:sz w:val="20"/>
                  <w:szCs w:val="20"/>
                  <w:bdr w:val="none" w:sz="0" w:space="0" w:color="auto" w:frame="1"/>
                </w:rPr>
                <w:t>www.regularisation.be</w:t>
              </w:r>
            </w:hyperlink>
            <w:r w:rsidRPr="002C7F07">
              <w:rPr>
                <w:rStyle w:val="Accentuation"/>
                <w:rFonts w:ascii="Verdana" w:hAnsi="Verdana"/>
                <w:sz w:val="20"/>
                <w:szCs w:val="20"/>
              </w:rPr>
              <w:t>).</w:t>
            </w:r>
            <w:r w:rsidRPr="002C7F07">
              <w:rPr>
                <w:rFonts w:ascii="Verdana" w:hAnsi="Verdana"/>
                <w:i/>
                <w:iCs/>
                <w:sz w:val="20"/>
                <w:szCs w:val="20"/>
              </w:rPr>
              <w:br/>
            </w:r>
            <w:r w:rsidRPr="002C7F07">
              <w:rPr>
                <w:rStyle w:val="Accentuation"/>
                <w:rFonts w:ascii="Verdana" w:hAnsi="Verdana"/>
                <w:sz w:val="20"/>
                <w:szCs w:val="20"/>
              </w:rPr>
              <w:t>Pour plus d’informations sur la DLU quater: G. Homans, « DLU quater : nouvelle procédure de régularisation fiscale et sociale », </w:t>
            </w:r>
            <w:hyperlink r:id="rId9" w:tgtFrame="_blank" w:history="1">
              <w:r w:rsidRPr="002C7F07">
                <w:rPr>
                  <w:rStyle w:val="Lienhypertexte"/>
                  <w:rFonts w:ascii="Verdana" w:hAnsi="Verdana"/>
                  <w:i/>
                  <w:iCs/>
                  <w:color w:val="auto"/>
                  <w:sz w:val="20"/>
                  <w:szCs w:val="20"/>
                  <w:bdr w:val="none" w:sz="0" w:space="0" w:color="auto" w:frame="1"/>
                </w:rPr>
                <w:t>Actualités fiscales</w:t>
              </w:r>
            </w:hyperlink>
            <w:r w:rsidRPr="002C7F07">
              <w:rPr>
                <w:rStyle w:val="Accentuation"/>
                <w:rFonts w:ascii="Verdana" w:hAnsi="Verdana"/>
                <w:sz w:val="20"/>
                <w:szCs w:val="20"/>
              </w:rPr>
              <w:t>, 35, Semaine du 10 au 16 octobre 2016.</w:t>
            </w:r>
            <w:r w:rsidRPr="002C7F07">
              <w:rPr>
                <w:rFonts w:ascii="Verdana" w:hAnsi="Verdana"/>
                <w:sz w:val="20"/>
                <w:szCs w:val="20"/>
              </w:rPr>
              <w:br/>
            </w:r>
            <w:r w:rsidRPr="002C7F07">
              <w:rPr>
                <w:rFonts w:ascii="Verdana" w:hAnsi="Verdana"/>
                <w:sz w:val="16"/>
                <w:szCs w:val="16"/>
              </w:rPr>
              <w:br/>
              <w:t>(1) Loi du 21 juillet 2016, M.B., 29 juillet 2016, p.46367</w:t>
            </w:r>
            <w:r w:rsidRPr="002C7F07">
              <w:rPr>
                <w:rFonts w:ascii="Verdana" w:hAnsi="Verdana"/>
                <w:sz w:val="16"/>
                <w:szCs w:val="16"/>
              </w:rPr>
              <w:br/>
              <w:t>(2) Art. 18 de la loi du 21 juillet 2016</w:t>
            </w:r>
            <w:r w:rsidRPr="002C7F07">
              <w:rPr>
                <w:rFonts w:ascii="Verdana" w:hAnsi="Verdana"/>
                <w:sz w:val="16"/>
                <w:szCs w:val="16"/>
              </w:rPr>
              <w:br/>
              <w:t>(3) Art. 10,§ 1er de la loi du 21 juillet 2016</w:t>
            </w:r>
          </w:p>
        </w:tc>
      </w:tr>
    </w:tbl>
    <w:p w:rsidR="001E4704" w:rsidRDefault="001E4704"/>
    <w:sectPr w:rsidR="001E4704" w:rsidSect="001E470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155" w:rsidRDefault="00981155" w:rsidP="00FF651A">
      <w:pPr>
        <w:spacing w:after="0" w:line="240" w:lineRule="auto"/>
      </w:pPr>
      <w:r>
        <w:separator/>
      </w:r>
    </w:p>
  </w:endnote>
  <w:endnote w:type="continuationSeparator" w:id="0">
    <w:p w:rsidR="00981155" w:rsidRDefault="00981155" w:rsidP="00FF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155" w:rsidRDefault="00981155" w:rsidP="00FF651A">
      <w:pPr>
        <w:spacing w:after="0" w:line="240" w:lineRule="auto"/>
      </w:pPr>
      <w:r>
        <w:separator/>
      </w:r>
    </w:p>
  </w:footnote>
  <w:footnote w:type="continuationSeparator" w:id="0">
    <w:p w:rsidR="00981155" w:rsidRDefault="00981155" w:rsidP="00FF6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51A" w:rsidRDefault="00FF651A" w:rsidP="00FF651A">
    <w:pPr>
      <w:pStyle w:val="En-tte"/>
      <w:jc w:val="center"/>
    </w:pPr>
    <w:r>
      <w:rPr>
        <w:noProof/>
        <w:lang w:val="fr-FR" w:eastAsia="fr-FR"/>
      </w:rPr>
      <w:drawing>
        <wp:inline distT="0" distB="0" distL="0" distR="0">
          <wp:extent cx="2061845" cy="569595"/>
          <wp:effectExtent l="19050" t="0" r="0" b="0"/>
          <wp:docPr id="1" name="Image 1" descr="Klu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wer"/>
                  <pic:cNvPicPr>
                    <a:picLocks noChangeAspect="1" noChangeArrowheads="1"/>
                  </pic:cNvPicPr>
                </pic:nvPicPr>
                <pic:blipFill>
                  <a:blip r:embed="rId1"/>
                  <a:srcRect/>
                  <a:stretch>
                    <a:fillRect/>
                  </a:stretch>
                </pic:blipFill>
                <pic:spPr bwMode="auto">
                  <a:xfrm>
                    <a:off x="0" y="0"/>
                    <a:ext cx="2061845" cy="569595"/>
                  </a:xfrm>
                  <a:prstGeom prst="rect">
                    <a:avLst/>
                  </a:prstGeom>
                  <a:noFill/>
                  <a:ln w="9525">
                    <a:noFill/>
                    <a:miter lim="800000"/>
                    <a:headEnd/>
                    <a:tailEnd/>
                  </a:ln>
                </pic:spPr>
              </pic:pic>
            </a:graphicData>
          </a:graphic>
        </wp:inline>
      </w:drawing>
    </w:r>
  </w:p>
  <w:p w:rsidR="00FF651A" w:rsidRDefault="00FF651A" w:rsidP="00FF651A">
    <w:pPr>
      <w:pStyle w:val="En-tte"/>
      <w:jc w:val="center"/>
    </w:pPr>
    <w:r>
      <w:rPr>
        <w:noProof/>
        <w:lang w:val="fr-FR" w:eastAsia="fr-FR"/>
      </w:rPr>
      <w:drawing>
        <wp:inline distT="0" distB="0" distL="0" distR="0">
          <wp:extent cx="1587500" cy="569595"/>
          <wp:effectExtent l="19050" t="0" r="0" b="0"/>
          <wp:docPr id="4" name="Image 4" descr="http://www.taxworld.be/taxworld/images/logo-comsite-tax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axworld.be/taxworld/images/logo-comsite-taxworld.jpg"/>
                  <pic:cNvPicPr>
                    <a:picLocks noChangeAspect="1" noChangeArrowheads="1"/>
                  </pic:cNvPicPr>
                </pic:nvPicPr>
                <pic:blipFill>
                  <a:blip r:embed="rId2"/>
                  <a:srcRect/>
                  <a:stretch>
                    <a:fillRect/>
                  </a:stretch>
                </pic:blipFill>
                <pic:spPr bwMode="auto">
                  <a:xfrm>
                    <a:off x="0" y="0"/>
                    <a:ext cx="1587500" cy="56959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51A"/>
    <w:rsid w:val="000807F6"/>
    <w:rsid w:val="00082600"/>
    <w:rsid w:val="00091756"/>
    <w:rsid w:val="000B097B"/>
    <w:rsid w:val="000C7F2E"/>
    <w:rsid w:val="000E27F7"/>
    <w:rsid w:val="000E36FB"/>
    <w:rsid w:val="001057E1"/>
    <w:rsid w:val="00106BC5"/>
    <w:rsid w:val="001452F0"/>
    <w:rsid w:val="0017423F"/>
    <w:rsid w:val="00185E7D"/>
    <w:rsid w:val="001E4704"/>
    <w:rsid w:val="00206DFD"/>
    <w:rsid w:val="002676AC"/>
    <w:rsid w:val="0029533C"/>
    <w:rsid w:val="002C2EC5"/>
    <w:rsid w:val="002C351F"/>
    <w:rsid w:val="002C7F07"/>
    <w:rsid w:val="002E1E40"/>
    <w:rsid w:val="002F5463"/>
    <w:rsid w:val="00305C77"/>
    <w:rsid w:val="003141B8"/>
    <w:rsid w:val="003351F8"/>
    <w:rsid w:val="003404CA"/>
    <w:rsid w:val="00354770"/>
    <w:rsid w:val="003567EC"/>
    <w:rsid w:val="00397784"/>
    <w:rsid w:val="003C2E94"/>
    <w:rsid w:val="003E5007"/>
    <w:rsid w:val="003E7B6D"/>
    <w:rsid w:val="003F038B"/>
    <w:rsid w:val="00421EDD"/>
    <w:rsid w:val="004A4BE7"/>
    <w:rsid w:val="004E0EBF"/>
    <w:rsid w:val="00522474"/>
    <w:rsid w:val="00541D8D"/>
    <w:rsid w:val="00581EF3"/>
    <w:rsid w:val="005916B9"/>
    <w:rsid w:val="0059177F"/>
    <w:rsid w:val="005A6284"/>
    <w:rsid w:val="005C53BE"/>
    <w:rsid w:val="005E4A4A"/>
    <w:rsid w:val="00695E31"/>
    <w:rsid w:val="006D5708"/>
    <w:rsid w:val="006E3D25"/>
    <w:rsid w:val="006F0C9A"/>
    <w:rsid w:val="006F7AF8"/>
    <w:rsid w:val="00713E6C"/>
    <w:rsid w:val="00717C5F"/>
    <w:rsid w:val="007326B9"/>
    <w:rsid w:val="00770CD5"/>
    <w:rsid w:val="00786E1A"/>
    <w:rsid w:val="007977D0"/>
    <w:rsid w:val="007C0268"/>
    <w:rsid w:val="007C724E"/>
    <w:rsid w:val="00800BF5"/>
    <w:rsid w:val="0080454C"/>
    <w:rsid w:val="00824604"/>
    <w:rsid w:val="00824BA5"/>
    <w:rsid w:val="00851AE5"/>
    <w:rsid w:val="00863B8D"/>
    <w:rsid w:val="008824B8"/>
    <w:rsid w:val="0088752F"/>
    <w:rsid w:val="008976D4"/>
    <w:rsid w:val="008A1232"/>
    <w:rsid w:val="008C48BF"/>
    <w:rsid w:val="008E3CFA"/>
    <w:rsid w:val="00925094"/>
    <w:rsid w:val="00960B01"/>
    <w:rsid w:val="009775A8"/>
    <w:rsid w:val="00981155"/>
    <w:rsid w:val="009920F2"/>
    <w:rsid w:val="00993D18"/>
    <w:rsid w:val="009B024B"/>
    <w:rsid w:val="00A047A3"/>
    <w:rsid w:val="00A20F6C"/>
    <w:rsid w:val="00A272AB"/>
    <w:rsid w:val="00A37CDF"/>
    <w:rsid w:val="00A65373"/>
    <w:rsid w:val="00A7767A"/>
    <w:rsid w:val="00AA2EB7"/>
    <w:rsid w:val="00AA6752"/>
    <w:rsid w:val="00AC5EA5"/>
    <w:rsid w:val="00AE7317"/>
    <w:rsid w:val="00B470AF"/>
    <w:rsid w:val="00B930B3"/>
    <w:rsid w:val="00B975A2"/>
    <w:rsid w:val="00BA7471"/>
    <w:rsid w:val="00BF099A"/>
    <w:rsid w:val="00C046A7"/>
    <w:rsid w:val="00C12B83"/>
    <w:rsid w:val="00C70154"/>
    <w:rsid w:val="00C93FC8"/>
    <w:rsid w:val="00CB10A6"/>
    <w:rsid w:val="00CB392A"/>
    <w:rsid w:val="00D30261"/>
    <w:rsid w:val="00D32D30"/>
    <w:rsid w:val="00D514E0"/>
    <w:rsid w:val="00D53252"/>
    <w:rsid w:val="00D62FEF"/>
    <w:rsid w:val="00DF43BF"/>
    <w:rsid w:val="00E01547"/>
    <w:rsid w:val="00E06553"/>
    <w:rsid w:val="00E116F5"/>
    <w:rsid w:val="00E3747C"/>
    <w:rsid w:val="00E5253E"/>
    <w:rsid w:val="00EB53D6"/>
    <w:rsid w:val="00EC7F35"/>
    <w:rsid w:val="00EE7465"/>
    <w:rsid w:val="00F22B4E"/>
    <w:rsid w:val="00F42069"/>
    <w:rsid w:val="00F67837"/>
    <w:rsid w:val="00F749C8"/>
    <w:rsid w:val="00F9187C"/>
    <w:rsid w:val="00FA25AC"/>
    <w:rsid w:val="00FB4D21"/>
    <w:rsid w:val="00FF65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9ECDD-7F95-43AA-81C3-07FF68CE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4704"/>
  </w:style>
  <w:style w:type="paragraph" w:styleId="Titre1">
    <w:name w:val="heading 1"/>
    <w:basedOn w:val="Normal"/>
    <w:link w:val="Titre1Car"/>
    <w:uiPriority w:val="9"/>
    <w:qFormat/>
    <w:rsid w:val="00FF65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F651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F651A"/>
  </w:style>
  <w:style w:type="paragraph" w:styleId="Pieddepage">
    <w:name w:val="footer"/>
    <w:basedOn w:val="Normal"/>
    <w:link w:val="PieddepageCar"/>
    <w:uiPriority w:val="99"/>
    <w:semiHidden/>
    <w:unhideWhenUsed/>
    <w:rsid w:val="00FF651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F651A"/>
  </w:style>
  <w:style w:type="paragraph" w:styleId="Textedebulles">
    <w:name w:val="Balloon Text"/>
    <w:basedOn w:val="Normal"/>
    <w:link w:val="TextedebullesCar"/>
    <w:uiPriority w:val="99"/>
    <w:semiHidden/>
    <w:unhideWhenUsed/>
    <w:rsid w:val="00FF65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651A"/>
    <w:rPr>
      <w:rFonts w:ascii="Tahoma" w:hAnsi="Tahoma" w:cs="Tahoma"/>
      <w:sz w:val="16"/>
      <w:szCs w:val="16"/>
    </w:rPr>
  </w:style>
  <w:style w:type="character" w:customStyle="1" w:styleId="Titre1Car">
    <w:name w:val="Titre 1 Car"/>
    <w:basedOn w:val="Policepardfaut"/>
    <w:link w:val="Titre1"/>
    <w:uiPriority w:val="9"/>
    <w:rsid w:val="00FF651A"/>
    <w:rPr>
      <w:rFonts w:ascii="Times New Roman" w:eastAsia="Times New Roman" w:hAnsi="Times New Roman" w:cs="Times New Roman"/>
      <w:b/>
      <w:bCs/>
      <w:kern w:val="36"/>
      <w:sz w:val="48"/>
      <w:szCs w:val="48"/>
      <w:lang w:eastAsia="fr-BE"/>
    </w:rPr>
  </w:style>
  <w:style w:type="character" w:customStyle="1" w:styleId="contentdate">
    <w:name w:val="contentdate"/>
    <w:basedOn w:val="Policepardfaut"/>
    <w:rsid w:val="00FF651A"/>
  </w:style>
  <w:style w:type="paragraph" w:styleId="NormalWeb">
    <w:name w:val="Normal (Web)"/>
    <w:basedOn w:val="Normal"/>
    <w:uiPriority w:val="99"/>
    <w:unhideWhenUsed/>
    <w:rsid w:val="00FF651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FF651A"/>
    <w:rPr>
      <w:b/>
      <w:bCs/>
    </w:rPr>
  </w:style>
  <w:style w:type="character" w:styleId="Lienhypertexte">
    <w:name w:val="Hyperlink"/>
    <w:basedOn w:val="Policepardfaut"/>
    <w:uiPriority w:val="99"/>
    <w:semiHidden/>
    <w:unhideWhenUsed/>
    <w:rsid w:val="00FF651A"/>
    <w:rPr>
      <w:color w:val="0000FF"/>
      <w:u w:val="single"/>
    </w:rPr>
  </w:style>
  <w:style w:type="character" w:styleId="Accentuation">
    <w:name w:val="Emphasis"/>
    <w:basedOn w:val="Policepardfaut"/>
    <w:uiPriority w:val="20"/>
    <w:qFormat/>
    <w:rsid w:val="00FF651A"/>
    <w:rPr>
      <w:i/>
      <w:iCs/>
    </w:rPr>
  </w:style>
  <w:style w:type="character" w:customStyle="1" w:styleId="apple-converted-space">
    <w:name w:val="apple-converted-space"/>
    <w:basedOn w:val="Policepardfaut"/>
    <w:rsid w:val="00960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07474">
      <w:bodyDiv w:val="1"/>
      <w:marLeft w:val="0"/>
      <w:marRight w:val="0"/>
      <w:marTop w:val="0"/>
      <w:marBottom w:val="0"/>
      <w:divBdr>
        <w:top w:val="none" w:sz="0" w:space="0" w:color="auto"/>
        <w:left w:val="none" w:sz="0" w:space="0" w:color="auto"/>
        <w:bottom w:val="none" w:sz="0" w:space="0" w:color="auto"/>
        <w:right w:val="none" w:sz="0" w:space="0" w:color="auto"/>
      </w:divBdr>
    </w:div>
    <w:div w:id="944001558">
      <w:bodyDiv w:val="1"/>
      <w:marLeft w:val="0"/>
      <w:marRight w:val="0"/>
      <w:marTop w:val="0"/>
      <w:marBottom w:val="0"/>
      <w:divBdr>
        <w:top w:val="none" w:sz="0" w:space="0" w:color="auto"/>
        <w:left w:val="none" w:sz="0" w:space="0" w:color="auto"/>
        <w:bottom w:val="none" w:sz="0" w:space="0" w:color="auto"/>
        <w:right w:val="none" w:sz="0" w:space="0" w:color="auto"/>
      </w:divBdr>
    </w:div>
    <w:div w:id="1193301633">
      <w:bodyDiv w:val="1"/>
      <w:marLeft w:val="0"/>
      <w:marRight w:val="0"/>
      <w:marTop w:val="0"/>
      <w:marBottom w:val="0"/>
      <w:divBdr>
        <w:top w:val="none" w:sz="0" w:space="0" w:color="auto"/>
        <w:left w:val="none" w:sz="0" w:space="0" w:color="auto"/>
        <w:bottom w:val="none" w:sz="0" w:space="0" w:color="auto"/>
        <w:right w:val="none" w:sz="0" w:space="0" w:color="auto"/>
      </w:divBdr>
    </w:div>
    <w:div w:id="1203131467">
      <w:bodyDiv w:val="1"/>
      <w:marLeft w:val="0"/>
      <w:marRight w:val="0"/>
      <w:marTop w:val="0"/>
      <w:marBottom w:val="0"/>
      <w:divBdr>
        <w:top w:val="none" w:sz="0" w:space="0" w:color="auto"/>
        <w:left w:val="none" w:sz="0" w:space="0" w:color="auto"/>
        <w:bottom w:val="none" w:sz="0" w:space="0" w:color="auto"/>
        <w:right w:val="none" w:sz="0" w:space="0" w:color="auto"/>
      </w:divBdr>
    </w:div>
    <w:div w:id="1452674258">
      <w:bodyDiv w:val="1"/>
      <w:marLeft w:val="0"/>
      <w:marRight w:val="0"/>
      <w:marTop w:val="0"/>
      <w:marBottom w:val="0"/>
      <w:divBdr>
        <w:top w:val="none" w:sz="0" w:space="0" w:color="auto"/>
        <w:left w:val="none" w:sz="0" w:space="0" w:color="auto"/>
        <w:bottom w:val="none" w:sz="0" w:space="0" w:color="auto"/>
        <w:right w:val="none" w:sz="0" w:space="0" w:color="auto"/>
      </w:divBdr>
    </w:div>
    <w:div w:id="187311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risation.be/" TargetMode="External"/><Relationship Id="rId3" Type="http://schemas.openxmlformats.org/officeDocument/2006/relationships/webSettings" Target="webSettings.xml"/><Relationship Id="rId7" Type="http://schemas.openxmlformats.org/officeDocument/2006/relationships/hyperlink" Target="http://www.dekeyser-associe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homans@dekeyser-associe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hop.wolterskluwer.be/shop/fr_BE/Sites/catalogue-revues-juridiques-autres-revues-juridiques/Actualit-s-Fiscales-et-archives-online?p=BPMFMACTFI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2805</Characters>
  <Application>Microsoft Office Word</Application>
  <DocSecurity>0</DocSecurity>
  <Lines>23</Lines>
  <Paragraphs>6</Paragraphs>
  <ScaleCrop>false</ScaleCrop>
  <Company>Hewlett-Packard Company</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Muriel</cp:lastModifiedBy>
  <cp:revision>2</cp:revision>
  <cp:lastPrinted>2016-10-07T09:23:00Z</cp:lastPrinted>
  <dcterms:created xsi:type="dcterms:W3CDTF">2016-10-13T07:02:00Z</dcterms:created>
  <dcterms:modified xsi:type="dcterms:W3CDTF">2016-10-13T07:02:00Z</dcterms:modified>
</cp:coreProperties>
</file>